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Tamales Shopping List</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For the filling:</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Cooked and shredded chicken or pork (or vegetarian options like mushrooms, cheese, or beans)</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Diced onion</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Minced garlic</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Cumin powder</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Chili powder</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Salt</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Pepper</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Tomato sauce</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For the masa:</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Masa harina (corn flour)</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Chicken or vegetable broth</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Baking powder</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Salt</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Lard or vegetable shortening (if you're making traditional tamales)</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For the assembly:</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Corn husks</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Hot water</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Kitchen twine or strips of corn husks</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Optional toppings or garnishes: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Salsa</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Diced onion</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Chopped cilantro</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Diced tomatoes</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Sour cream</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Don't forget to check your pantry for any of the ingredients you might already have before heading to the store! And if you're making vegetarian or vegan tamales, make sure to use plant-based substitutes for any animal-based ingredients.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